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327099">
        <w:rPr>
          <w:b/>
          <w:bCs/>
        </w:rPr>
        <w:t>04</w:t>
      </w:r>
      <w:r w:rsidRPr="00133C9A">
        <w:rPr>
          <w:b/>
          <w:bCs/>
        </w:rPr>
        <w:t xml:space="preserve">» </w:t>
      </w:r>
      <w:r w:rsidR="00F26238">
        <w:rPr>
          <w:b/>
          <w:bCs/>
        </w:rPr>
        <w:t>июля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C767BC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327099">
        <w:rPr>
          <w:b/>
          <w:bCs/>
        </w:rPr>
        <w:t>366</w:t>
      </w:r>
    </w:p>
    <w:p w:rsidR="00AA5CFB" w:rsidRPr="00FA1DB7" w:rsidRDefault="00AA5CFB" w:rsidP="00AA5CFB">
      <w:pPr>
        <w:rPr>
          <w:sz w:val="28"/>
          <w:szCs w:val="28"/>
        </w:rPr>
      </w:pP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>на 2023-2025 г.г.», утвержденную постановление администрации МО «Город Отрадное» от 18.11.2022 № 649</w:t>
      </w:r>
    </w:p>
    <w:p w:rsidR="00FA1DB7" w:rsidRPr="00C767BC" w:rsidRDefault="00FA1DB7" w:rsidP="00FA1DB7">
      <w:pPr>
        <w:jc w:val="center"/>
        <w:rPr>
          <w:b/>
          <w:sz w:val="27"/>
          <w:szCs w:val="27"/>
        </w:rPr>
      </w:pPr>
    </w:p>
    <w:p w:rsidR="00FA1DB7" w:rsidRPr="00C767BC" w:rsidRDefault="00FA1DB7" w:rsidP="00FA1DB7">
      <w:pPr>
        <w:tabs>
          <w:tab w:val="left" w:pos="9356"/>
        </w:tabs>
        <w:ind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</w:t>
      </w:r>
      <w:r w:rsidR="005937FB">
        <w:rPr>
          <w:sz w:val="27"/>
          <w:szCs w:val="27"/>
        </w:rPr>
        <w:t>.12.</w:t>
      </w:r>
      <w:r w:rsidRPr="00C767BC">
        <w:rPr>
          <w:sz w:val="27"/>
          <w:szCs w:val="27"/>
        </w:rPr>
        <w:t>2013 № 571 «</w:t>
      </w:r>
      <w:r w:rsidRPr="00C767BC">
        <w:rPr>
          <w:color w:val="000000"/>
          <w:spacing w:val="-1"/>
          <w:sz w:val="27"/>
          <w:szCs w:val="27"/>
        </w:rPr>
        <w:t xml:space="preserve">Об утверждении Порядка </w:t>
      </w:r>
      <w:r w:rsidRPr="00C767BC">
        <w:rPr>
          <w:sz w:val="27"/>
          <w:szCs w:val="27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sz w:val="27"/>
          <w:szCs w:val="27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2023-2025 г.г.»</w:t>
      </w:r>
      <w:r w:rsidRPr="00C767BC">
        <w:rPr>
          <w:bCs/>
          <w:sz w:val="27"/>
          <w:szCs w:val="27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18.11.2022 </w:t>
      </w:r>
      <w:r w:rsidR="005937FB">
        <w:rPr>
          <w:bCs/>
          <w:sz w:val="27"/>
          <w:szCs w:val="27"/>
        </w:rPr>
        <w:t xml:space="preserve">                </w:t>
      </w:r>
      <w:r w:rsidRPr="00C767BC">
        <w:rPr>
          <w:bCs/>
          <w:sz w:val="27"/>
          <w:szCs w:val="27"/>
        </w:rPr>
        <w:t>№ 649, согласно приложению к настоящему постановлению.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767BC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Контроль за исполнением постановления оставляю за собой.</w:t>
      </w: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F3167" w:rsidRPr="00C767BC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  <w:r w:rsidRPr="00C767BC">
        <w:rPr>
          <w:b w:val="0"/>
          <w:sz w:val="27"/>
          <w:szCs w:val="27"/>
        </w:rPr>
        <w:t>Первый з</w:t>
      </w:r>
      <w:r w:rsidR="00AF3167" w:rsidRPr="00C767BC">
        <w:rPr>
          <w:b w:val="0"/>
          <w:sz w:val="27"/>
          <w:szCs w:val="27"/>
        </w:rPr>
        <w:t xml:space="preserve">аместитель </w:t>
      </w:r>
      <w:r w:rsidR="009038CA" w:rsidRPr="00C767BC">
        <w:rPr>
          <w:b w:val="0"/>
          <w:sz w:val="27"/>
          <w:szCs w:val="27"/>
        </w:rPr>
        <w:t>главы администрации</w:t>
      </w:r>
      <w:r w:rsidRPr="00C767BC">
        <w:rPr>
          <w:b w:val="0"/>
          <w:sz w:val="27"/>
          <w:szCs w:val="27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C767BC">
          <w:pgSz w:w="11906" w:h="16838"/>
          <w:pgMar w:top="567" w:right="849" w:bottom="568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C53A58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30CB3" w:rsidRPr="00A70E8F" w:rsidTr="00C53A58">
        <w:tc>
          <w:tcPr>
            <w:tcW w:w="4815" w:type="dxa"/>
          </w:tcPr>
          <w:p w:rsidR="00C30CB3" w:rsidRPr="00A70E8F" w:rsidRDefault="00C30CB3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</w:t>
            </w:r>
            <w:r w:rsidRPr="00A70E8F">
              <w:rPr>
                <w:sz w:val="28"/>
                <w:szCs w:val="28"/>
              </w:rPr>
              <w:lastRenderedPageBreak/>
              <w:t>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 xml:space="preserve">Всего – </w:t>
            </w:r>
            <w:r w:rsidR="007F6EE0">
              <w:rPr>
                <w:sz w:val="28"/>
                <w:szCs w:val="28"/>
              </w:rPr>
              <w:t>12038,19</w:t>
            </w:r>
            <w:r w:rsidRPr="00003E7B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FA1DB7" w:rsidRPr="00003E7B">
              <w:rPr>
                <w:sz w:val="28"/>
                <w:szCs w:val="28"/>
              </w:rPr>
              <w:t>3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53A58">
              <w:rPr>
                <w:sz w:val="28"/>
                <w:szCs w:val="28"/>
              </w:rPr>
              <w:t>2864,64</w:t>
            </w:r>
            <w:r w:rsidRPr="00003E7B">
              <w:rPr>
                <w:sz w:val="28"/>
                <w:szCs w:val="28"/>
              </w:rPr>
              <w:t xml:space="preserve"> тыс. руб.</w:t>
            </w:r>
            <w:r w:rsidR="00F42E4D" w:rsidRPr="00003E7B">
              <w:rPr>
                <w:sz w:val="28"/>
                <w:szCs w:val="28"/>
              </w:rPr>
              <w:t xml:space="preserve"> 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7F6EE0">
              <w:rPr>
                <w:sz w:val="28"/>
                <w:szCs w:val="28"/>
              </w:rPr>
              <w:t>4340,38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  <w:p w:rsidR="003B38AA" w:rsidRPr="00003E7B" w:rsidRDefault="003B38AA" w:rsidP="007F6EE0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5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7F6EE0">
              <w:rPr>
                <w:sz w:val="28"/>
                <w:szCs w:val="28"/>
              </w:rPr>
              <w:t>4833,17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3E4016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Pr="00C30CB3" w:rsidRDefault="0081744C" w:rsidP="00C30CB3">
      <w:pPr>
        <w:pStyle w:val="a7"/>
        <w:numPr>
          <w:ilvl w:val="0"/>
          <w:numId w:val="9"/>
        </w:numPr>
        <w:ind w:right="-1"/>
        <w:jc w:val="center"/>
        <w:rPr>
          <w:b/>
          <w:bCs/>
          <w:sz w:val="28"/>
          <w:szCs w:val="28"/>
        </w:rPr>
      </w:pPr>
      <w:r w:rsidRPr="00C30CB3">
        <w:rPr>
          <w:b/>
          <w:bCs/>
          <w:sz w:val="28"/>
          <w:szCs w:val="28"/>
        </w:rPr>
        <w:lastRenderedPageBreak/>
        <w:t>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 w:rsidRPr="00C30CB3">
        <w:rPr>
          <w:b/>
          <w:bCs/>
          <w:sz w:val="28"/>
          <w:szCs w:val="28"/>
        </w:rPr>
        <w:t>3</w:t>
      </w:r>
      <w:r w:rsidRPr="00C30CB3">
        <w:rPr>
          <w:b/>
          <w:bCs/>
          <w:sz w:val="28"/>
          <w:szCs w:val="28"/>
        </w:rPr>
        <w:t>-202</w:t>
      </w:r>
      <w:r w:rsidR="001311BE" w:rsidRPr="00C30CB3">
        <w:rPr>
          <w:b/>
          <w:bCs/>
          <w:sz w:val="28"/>
          <w:szCs w:val="28"/>
        </w:rPr>
        <w:t>5</w:t>
      </w:r>
      <w:r w:rsidRPr="00C30CB3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p w:rsidR="00C30CB3" w:rsidRP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416"/>
        <w:gridCol w:w="1276"/>
        <w:gridCol w:w="1134"/>
        <w:gridCol w:w="1134"/>
      </w:tblGrid>
      <w:tr w:rsidR="00C30CB3" w:rsidRPr="00C30CB3" w:rsidTr="00C30CB3">
        <w:trPr>
          <w:trHeight w:val="1060"/>
        </w:trPr>
        <w:tc>
          <w:tcPr>
            <w:tcW w:w="851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C30CB3" w:rsidRPr="00C30CB3" w:rsidRDefault="00C30CB3" w:rsidP="00C30C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C30CB3" w:rsidRPr="00C30CB3" w:rsidTr="00C30CB3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C30CB3" w:rsidRPr="00C30CB3" w:rsidTr="00C30CB3">
        <w:trPr>
          <w:trHeight w:val="215"/>
        </w:trPr>
        <w:tc>
          <w:tcPr>
            <w:tcW w:w="851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C30CB3" w:rsidRPr="00C30CB3" w:rsidTr="00C30CB3">
        <w:trPr>
          <w:trHeight w:val="439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C30CB3" w:rsidRPr="00C30CB3" w:rsidTr="00C30CB3">
        <w:trPr>
          <w:trHeight w:val="553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7F6EE0">
        <w:rPr>
          <w:sz w:val="28"/>
          <w:szCs w:val="28"/>
        </w:rPr>
        <w:t>12038,19</w:t>
      </w:r>
      <w:r w:rsidR="005937FB" w:rsidRPr="00003E7B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42596F" w:rsidP="0042596F">
      <w:pPr>
        <w:tabs>
          <w:tab w:val="left" w:pos="5253"/>
        </w:tabs>
      </w:pPr>
      <w:r>
        <w:tab/>
      </w: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327099">
        <w:t>04</w:t>
      </w:r>
      <w:r w:rsidR="00150107">
        <w:t>»</w:t>
      </w:r>
      <w:r w:rsidR="00133C9A">
        <w:t xml:space="preserve"> </w:t>
      </w:r>
      <w:r w:rsidR="00F26238">
        <w:t>июля</w:t>
      </w:r>
      <w:r w:rsidR="00150107">
        <w:t xml:space="preserve"> </w:t>
      </w:r>
      <w:r>
        <w:t>20</w:t>
      </w:r>
      <w:r w:rsidR="001D1372">
        <w:t>2</w:t>
      </w:r>
      <w:r w:rsidR="00C767BC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327099">
        <w:t>366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4988" w:type="dxa"/>
        <w:tblInd w:w="92" w:type="dxa"/>
        <w:tblLook w:val="04A0"/>
      </w:tblPr>
      <w:tblGrid>
        <w:gridCol w:w="725"/>
        <w:gridCol w:w="3260"/>
        <w:gridCol w:w="2463"/>
        <w:gridCol w:w="2640"/>
        <w:gridCol w:w="1720"/>
        <w:gridCol w:w="2107"/>
        <w:gridCol w:w="2073"/>
      </w:tblGrid>
      <w:tr w:rsidR="007F6EE0" w:rsidRPr="007F6EE0" w:rsidTr="007F6EE0">
        <w:trPr>
          <w:trHeight w:val="360"/>
        </w:trPr>
        <w:tc>
          <w:tcPr>
            <w:tcW w:w="1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F6EE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7F6EE0" w:rsidRPr="007F6EE0" w:rsidTr="007F6EE0">
        <w:trPr>
          <w:trHeight w:val="6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846,06</w:t>
            </w:r>
          </w:p>
        </w:tc>
      </w:tr>
      <w:tr w:rsidR="007F6EE0" w:rsidRPr="007F6EE0" w:rsidTr="007F6EE0">
        <w:trPr>
          <w:trHeight w:val="4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1994,31</w:t>
            </w:r>
          </w:p>
        </w:tc>
      </w:tr>
      <w:tr w:rsidR="007F6EE0" w:rsidRPr="007F6EE0" w:rsidTr="007F6EE0">
        <w:trPr>
          <w:trHeight w:val="4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2164,37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5004,74</w:t>
            </w:r>
          </w:p>
        </w:tc>
      </w:tr>
      <w:tr w:rsidR="007F6EE0" w:rsidRPr="007F6EE0" w:rsidTr="007F6EE0">
        <w:trPr>
          <w:trHeight w:val="34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143,70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158,07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402,53</w:t>
            </w:r>
          </w:p>
        </w:tc>
      </w:tr>
      <w:tr w:rsidR="007F6EE0" w:rsidRPr="007F6EE0" w:rsidTr="007F6EE0">
        <w:trPr>
          <w:trHeight w:val="34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126,90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142,40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149,50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418,80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102,30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310,90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1091,40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1200,54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2336,94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26,10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123,10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38,90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межмуниципального характера в зоне ответственности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133,10</w:t>
            </w:r>
          </w:p>
        </w:tc>
      </w:tr>
      <w:tr w:rsidR="007F6EE0" w:rsidRPr="007F6EE0" w:rsidTr="007F6EE0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364,10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114,51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125,96</w:t>
            </w:r>
          </w:p>
        </w:tc>
      </w:tr>
      <w:tr w:rsidR="007F6EE0" w:rsidRPr="007F6EE0" w:rsidTr="007F6EE0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350,47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 1.9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708,58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848,07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931,00</w:t>
            </w:r>
          </w:p>
        </w:tc>
      </w:tr>
      <w:tr w:rsidR="007F6EE0" w:rsidRPr="007F6EE0" w:rsidTr="007F6EE0">
        <w:trPr>
          <w:trHeight w:val="3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2487,65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7F6EE0" w:rsidRPr="007F6EE0" w:rsidTr="007F6EE0">
        <w:trPr>
          <w:trHeight w:val="37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первичных средств пожаротушения (огнетушителей)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107,90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146,50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415,60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46,70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495,18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1650,18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6,27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18,87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1310,00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1498,00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1737,80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4545,80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3620,00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427,80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Администрация МО </w:t>
            </w:r>
            <w:r w:rsidRPr="007F6EE0">
              <w:rPr>
                <w:b/>
                <w:bCs/>
                <w:color w:val="000000"/>
                <w:sz w:val="22"/>
                <w:szCs w:val="22"/>
              </w:rPr>
              <w:lastRenderedPageBreak/>
              <w:t>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2019,94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3560,38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4003,37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9583,69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522,00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422,00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539,80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1483,80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218,90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246,90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167,70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633,50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103,80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111,10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122,30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337,20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2864,64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4340,38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4833,17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12038,19</w:t>
            </w:r>
          </w:p>
        </w:tc>
      </w:tr>
      <w:tr w:rsidR="007F6EE0" w:rsidRPr="007F6EE0" w:rsidTr="007F6EE0">
        <w:trPr>
          <w:trHeight w:val="324"/>
        </w:trPr>
        <w:tc>
          <w:tcPr>
            <w:tcW w:w="1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6EE0" w:rsidRPr="007F6EE0" w:rsidTr="007F6EE0">
        <w:trPr>
          <w:trHeight w:val="324"/>
        </w:trPr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6EE0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4D" w:rsidRDefault="00F8364D" w:rsidP="00C96B53">
      <w:r>
        <w:separator/>
      </w:r>
    </w:p>
  </w:endnote>
  <w:endnote w:type="continuationSeparator" w:id="0">
    <w:p w:rsidR="00F8364D" w:rsidRDefault="00F8364D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4D" w:rsidRDefault="00F8364D" w:rsidP="00C96B53">
      <w:r>
        <w:separator/>
      </w:r>
    </w:p>
  </w:footnote>
  <w:footnote w:type="continuationSeparator" w:id="0">
    <w:p w:rsidR="00F8364D" w:rsidRDefault="00F8364D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60F6B"/>
    <w:rsid w:val="00072A25"/>
    <w:rsid w:val="000738E0"/>
    <w:rsid w:val="00073D4A"/>
    <w:rsid w:val="00080D3A"/>
    <w:rsid w:val="00086B83"/>
    <w:rsid w:val="00087E44"/>
    <w:rsid w:val="00090470"/>
    <w:rsid w:val="000965B5"/>
    <w:rsid w:val="000B186F"/>
    <w:rsid w:val="000B2195"/>
    <w:rsid w:val="000B60DB"/>
    <w:rsid w:val="000B6ABB"/>
    <w:rsid w:val="000C5684"/>
    <w:rsid w:val="000E4B1F"/>
    <w:rsid w:val="000F6906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69F"/>
    <w:rsid w:val="0020579B"/>
    <w:rsid w:val="00215B2A"/>
    <w:rsid w:val="002216F7"/>
    <w:rsid w:val="00235C09"/>
    <w:rsid w:val="0024060E"/>
    <w:rsid w:val="0024336A"/>
    <w:rsid w:val="002524B5"/>
    <w:rsid w:val="00272447"/>
    <w:rsid w:val="0028578B"/>
    <w:rsid w:val="00287B00"/>
    <w:rsid w:val="00291E51"/>
    <w:rsid w:val="002B6E18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27099"/>
    <w:rsid w:val="003340A4"/>
    <w:rsid w:val="0033700E"/>
    <w:rsid w:val="00342A68"/>
    <w:rsid w:val="0036680C"/>
    <w:rsid w:val="00381FF6"/>
    <w:rsid w:val="00383F0D"/>
    <w:rsid w:val="00393B0A"/>
    <w:rsid w:val="003A1825"/>
    <w:rsid w:val="003A4AFF"/>
    <w:rsid w:val="003B38AA"/>
    <w:rsid w:val="003C6968"/>
    <w:rsid w:val="003D3DA6"/>
    <w:rsid w:val="003E27A4"/>
    <w:rsid w:val="003E4016"/>
    <w:rsid w:val="003F1182"/>
    <w:rsid w:val="003F45F4"/>
    <w:rsid w:val="003F62E5"/>
    <w:rsid w:val="003F67C5"/>
    <w:rsid w:val="00400DA5"/>
    <w:rsid w:val="00402242"/>
    <w:rsid w:val="00417FD1"/>
    <w:rsid w:val="0042596F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52477D"/>
    <w:rsid w:val="005260AB"/>
    <w:rsid w:val="00540496"/>
    <w:rsid w:val="00541847"/>
    <w:rsid w:val="00571469"/>
    <w:rsid w:val="005930B3"/>
    <w:rsid w:val="005937FB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E6CE8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D69AD"/>
    <w:rsid w:val="006E2172"/>
    <w:rsid w:val="006E53EC"/>
    <w:rsid w:val="006F229D"/>
    <w:rsid w:val="007076FA"/>
    <w:rsid w:val="007103E7"/>
    <w:rsid w:val="00711828"/>
    <w:rsid w:val="00730678"/>
    <w:rsid w:val="00740FE3"/>
    <w:rsid w:val="00745D79"/>
    <w:rsid w:val="00751424"/>
    <w:rsid w:val="0075304D"/>
    <w:rsid w:val="007562E5"/>
    <w:rsid w:val="0076107B"/>
    <w:rsid w:val="00764416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7F6EE0"/>
    <w:rsid w:val="00803FDD"/>
    <w:rsid w:val="00805884"/>
    <w:rsid w:val="0081744C"/>
    <w:rsid w:val="00825C85"/>
    <w:rsid w:val="00831C3D"/>
    <w:rsid w:val="0083389F"/>
    <w:rsid w:val="00866B0A"/>
    <w:rsid w:val="00876777"/>
    <w:rsid w:val="00882681"/>
    <w:rsid w:val="008B41F0"/>
    <w:rsid w:val="008B68C9"/>
    <w:rsid w:val="008C4F03"/>
    <w:rsid w:val="008D0048"/>
    <w:rsid w:val="008D4569"/>
    <w:rsid w:val="008D47F1"/>
    <w:rsid w:val="008D7493"/>
    <w:rsid w:val="008F3366"/>
    <w:rsid w:val="008F359C"/>
    <w:rsid w:val="00902246"/>
    <w:rsid w:val="009038CA"/>
    <w:rsid w:val="00910467"/>
    <w:rsid w:val="00910FCB"/>
    <w:rsid w:val="009636DF"/>
    <w:rsid w:val="00963777"/>
    <w:rsid w:val="00963B9D"/>
    <w:rsid w:val="00992E2B"/>
    <w:rsid w:val="00995EC3"/>
    <w:rsid w:val="009B305A"/>
    <w:rsid w:val="009C2C8E"/>
    <w:rsid w:val="009E299E"/>
    <w:rsid w:val="009E534E"/>
    <w:rsid w:val="009E551A"/>
    <w:rsid w:val="009E5BAE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641F"/>
    <w:rsid w:val="00A82589"/>
    <w:rsid w:val="00A850B7"/>
    <w:rsid w:val="00A85ADB"/>
    <w:rsid w:val="00A86CE3"/>
    <w:rsid w:val="00AA2D5C"/>
    <w:rsid w:val="00AA5CFB"/>
    <w:rsid w:val="00AC12AA"/>
    <w:rsid w:val="00AE6431"/>
    <w:rsid w:val="00AF2811"/>
    <w:rsid w:val="00AF3167"/>
    <w:rsid w:val="00AF360A"/>
    <w:rsid w:val="00AF3876"/>
    <w:rsid w:val="00AF69C2"/>
    <w:rsid w:val="00AF6B49"/>
    <w:rsid w:val="00B039A8"/>
    <w:rsid w:val="00B208CA"/>
    <w:rsid w:val="00B256A6"/>
    <w:rsid w:val="00B420E1"/>
    <w:rsid w:val="00B50B82"/>
    <w:rsid w:val="00B53F04"/>
    <w:rsid w:val="00B640D6"/>
    <w:rsid w:val="00B65D24"/>
    <w:rsid w:val="00B67087"/>
    <w:rsid w:val="00B76F54"/>
    <w:rsid w:val="00B8394F"/>
    <w:rsid w:val="00BA4D1C"/>
    <w:rsid w:val="00BB0A72"/>
    <w:rsid w:val="00BB1D91"/>
    <w:rsid w:val="00BD32AB"/>
    <w:rsid w:val="00BD3CB4"/>
    <w:rsid w:val="00BD53B9"/>
    <w:rsid w:val="00BD6014"/>
    <w:rsid w:val="00BF10F5"/>
    <w:rsid w:val="00BF709C"/>
    <w:rsid w:val="00C03CE9"/>
    <w:rsid w:val="00C07BE5"/>
    <w:rsid w:val="00C13D47"/>
    <w:rsid w:val="00C30CB3"/>
    <w:rsid w:val="00C43911"/>
    <w:rsid w:val="00C52ADB"/>
    <w:rsid w:val="00C53A58"/>
    <w:rsid w:val="00C60E8A"/>
    <w:rsid w:val="00C75D37"/>
    <w:rsid w:val="00C767BC"/>
    <w:rsid w:val="00C90271"/>
    <w:rsid w:val="00C923A2"/>
    <w:rsid w:val="00C96B53"/>
    <w:rsid w:val="00CB4150"/>
    <w:rsid w:val="00CD1A7C"/>
    <w:rsid w:val="00CD7CAB"/>
    <w:rsid w:val="00CE5FD1"/>
    <w:rsid w:val="00CF0B73"/>
    <w:rsid w:val="00CF33FD"/>
    <w:rsid w:val="00D037CC"/>
    <w:rsid w:val="00D230E6"/>
    <w:rsid w:val="00D726E9"/>
    <w:rsid w:val="00D7481F"/>
    <w:rsid w:val="00D74A07"/>
    <w:rsid w:val="00DA5879"/>
    <w:rsid w:val="00DA6BD6"/>
    <w:rsid w:val="00DB1452"/>
    <w:rsid w:val="00DB7558"/>
    <w:rsid w:val="00DC5D5A"/>
    <w:rsid w:val="00DD1B42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22FA"/>
    <w:rsid w:val="00EA3F65"/>
    <w:rsid w:val="00EB22DE"/>
    <w:rsid w:val="00EB5C6C"/>
    <w:rsid w:val="00ED0AB7"/>
    <w:rsid w:val="00ED1BDE"/>
    <w:rsid w:val="00ED2B94"/>
    <w:rsid w:val="00ED3B65"/>
    <w:rsid w:val="00EE731E"/>
    <w:rsid w:val="00EF56C2"/>
    <w:rsid w:val="00EF78CC"/>
    <w:rsid w:val="00F151A5"/>
    <w:rsid w:val="00F161A2"/>
    <w:rsid w:val="00F20D38"/>
    <w:rsid w:val="00F26238"/>
    <w:rsid w:val="00F26869"/>
    <w:rsid w:val="00F26FA4"/>
    <w:rsid w:val="00F42D5D"/>
    <w:rsid w:val="00F42E4D"/>
    <w:rsid w:val="00F51FBD"/>
    <w:rsid w:val="00F56520"/>
    <w:rsid w:val="00F56D58"/>
    <w:rsid w:val="00F67D9A"/>
    <w:rsid w:val="00F76FF9"/>
    <w:rsid w:val="00F770F4"/>
    <w:rsid w:val="00F813B0"/>
    <w:rsid w:val="00F8364D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CE7B-E03F-4EB3-B2FF-C7C99CA6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19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27</cp:revision>
  <cp:lastPrinted>2023-07-04T07:10:00Z</cp:lastPrinted>
  <dcterms:created xsi:type="dcterms:W3CDTF">2022-08-12T08:22:00Z</dcterms:created>
  <dcterms:modified xsi:type="dcterms:W3CDTF">2023-07-04T11:30:00Z</dcterms:modified>
</cp:coreProperties>
</file>